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5A05" w14:textId="7091090F" w:rsidR="00FF674F" w:rsidRDefault="00FE47CB" w:rsidP="002862C4">
      <w:pPr>
        <w:ind w:left="8640"/>
        <w:rPr>
          <w:sz w:val="20"/>
          <w:szCs w:val="20"/>
        </w:rPr>
      </w:pPr>
      <w:r>
        <w:rPr>
          <w:sz w:val="20"/>
          <w:szCs w:val="20"/>
        </w:rPr>
        <w:t>Додаток 2</w:t>
      </w:r>
    </w:p>
    <w:p w14:paraId="1A7E4D75" w14:textId="77777777" w:rsidR="00FF674F" w:rsidRDefault="00FE47CB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УЧАСТЬ У ТЕНДЕРІ</w:t>
      </w:r>
    </w:p>
    <w:tbl>
      <w:tblPr>
        <w:tblStyle w:val="aff2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594"/>
      </w:tblGrid>
      <w:tr w:rsidR="00FF674F" w14:paraId="71CAE927" w14:textId="77777777">
        <w:trPr>
          <w:trHeight w:val="80"/>
        </w:trPr>
        <w:tc>
          <w:tcPr>
            <w:tcW w:w="9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3A99" w14:textId="2882C6E3" w:rsidR="00FF674F" w:rsidRDefault="00FE47CB" w:rsidP="00862A3D">
            <w:pPr>
              <w:spacing w:line="276" w:lineRule="auto"/>
              <w:ind w:left="10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Заповнюється </w:t>
            </w:r>
            <w:r w:rsidR="00D32740">
              <w:rPr>
                <w:i/>
                <w:sz w:val="16"/>
                <w:szCs w:val="16"/>
              </w:rPr>
              <w:t xml:space="preserve">ПВЗ </w:t>
            </w:r>
            <w:r w:rsidR="00862A3D">
              <w:rPr>
                <w:i/>
                <w:sz w:val="16"/>
                <w:szCs w:val="16"/>
              </w:rPr>
              <w:t xml:space="preserve"> ГО «</w:t>
            </w:r>
            <w:r>
              <w:rPr>
                <w:i/>
                <w:sz w:val="16"/>
                <w:szCs w:val="16"/>
              </w:rPr>
              <w:t>Л</w:t>
            </w:r>
            <w:r w:rsidR="00D23A6C">
              <w:rPr>
                <w:i/>
                <w:sz w:val="16"/>
                <w:szCs w:val="16"/>
              </w:rPr>
              <w:t>ЗІ</w:t>
            </w:r>
            <w:r w:rsidR="00862A3D">
              <w:rPr>
                <w:i/>
                <w:sz w:val="16"/>
                <w:szCs w:val="16"/>
              </w:rPr>
              <w:t>»</w:t>
            </w:r>
          </w:p>
        </w:tc>
      </w:tr>
      <w:tr w:rsidR="00FF674F" w14:paraId="6FE6EF0D" w14:textId="77777777">
        <w:trPr>
          <w:trHeight w:val="25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7AD3" w14:textId="57C14114" w:rsidR="00FF674F" w:rsidRDefault="00FE47CB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надходження заявки: “______” __________ 202</w:t>
            </w:r>
            <w:r w:rsidR="00D327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BBA8" w14:textId="77777777" w:rsidR="00FF674F" w:rsidRDefault="00FE47CB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Реєстраційний номер: № </w:t>
            </w:r>
          </w:p>
        </w:tc>
      </w:tr>
      <w:tr w:rsidR="00FF674F" w14:paraId="64759E5F" w14:textId="77777777">
        <w:trPr>
          <w:trHeight w:val="25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DA975" w14:textId="77777777" w:rsidR="00FF674F" w:rsidRDefault="00FF674F">
            <w:pPr>
              <w:spacing w:line="276" w:lineRule="auto"/>
              <w:ind w:left="100"/>
              <w:jc w:val="center"/>
              <w:rPr>
                <w:sz w:val="18"/>
                <w:szCs w:val="18"/>
              </w:rPr>
            </w:pPr>
          </w:p>
          <w:p w14:paraId="4F0A97FD" w14:textId="0FB78D1B" w:rsidR="00FF674F" w:rsidRDefault="00D23A6C">
            <w:pPr>
              <w:spacing w:line="276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ПВЗ</w:t>
            </w:r>
            <w:r w:rsidR="00FE47CB">
              <w:rPr>
                <w:sz w:val="18"/>
                <w:szCs w:val="18"/>
              </w:rPr>
              <w:t xml:space="preserve"> ____________________________________ прізвище, ініціали</w:t>
            </w:r>
          </w:p>
        </w:tc>
      </w:tr>
    </w:tbl>
    <w:p w14:paraId="0F499E12" w14:textId="07E045DC" w:rsidR="00FF674F" w:rsidRDefault="00FF674F">
      <w:pPr>
        <w:spacing w:line="276" w:lineRule="auto"/>
        <w:jc w:val="center"/>
        <w:rPr>
          <w:b/>
          <w:sz w:val="20"/>
          <w:szCs w:val="20"/>
        </w:rPr>
      </w:pPr>
    </w:p>
    <w:p w14:paraId="41E4CF81" w14:textId="77777777" w:rsidR="00D32740" w:rsidRDefault="00D32740">
      <w:pPr>
        <w:spacing w:line="276" w:lineRule="auto"/>
        <w:jc w:val="center"/>
        <w:rPr>
          <w:b/>
          <w:sz w:val="20"/>
          <w:szCs w:val="20"/>
        </w:rPr>
      </w:pPr>
    </w:p>
    <w:p w14:paraId="1641E02C" w14:textId="77777777" w:rsidR="00FF674F" w:rsidRDefault="00FE47C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КОМЕРЦІЙНА ПРОПОЗИЦІЯ</w:t>
      </w:r>
    </w:p>
    <w:p w14:paraId="7841C455" w14:textId="4EAD1A4C" w:rsidR="00FF674F" w:rsidRDefault="00FE47CB" w:rsidP="00BA1236">
      <w:pPr>
        <w:widowControl w:val="0"/>
        <w:spacing w:after="0" w:line="240" w:lineRule="auto"/>
        <w:jc w:val="both"/>
        <w:rPr>
          <w:sz w:val="20"/>
          <w:szCs w:val="20"/>
        </w:rPr>
      </w:pPr>
      <w:r w:rsidRPr="00BA1236">
        <w:rPr>
          <w:sz w:val="20"/>
          <w:szCs w:val="20"/>
        </w:rPr>
        <w:t xml:space="preserve">Ознайомившись із оголошенням про проведення тендеру на </w:t>
      </w:r>
      <w:r w:rsidR="00F2657E" w:rsidRPr="00BA1236">
        <w:rPr>
          <w:sz w:val="20"/>
          <w:szCs w:val="20"/>
        </w:rPr>
        <w:t xml:space="preserve">надання послуг </w:t>
      </w:r>
      <w:bookmarkStart w:id="0" w:name="_Hlk102835817"/>
      <w:r w:rsidR="00210E71" w:rsidRPr="00210E71">
        <w:rPr>
          <w:rFonts w:asciiTheme="minorHAnsi" w:hAnsiTheme="minorHAnsi" w:cstheme="minorHAnsi"/>
          <w:bCs/>
          <w:sz w:val="20"/>
          <w:szCs w:val="20"/>
        </w:rPr>
        <w:t>розробки дизайну та проведення дослідження про міжнародний досвід відновлення систем охорони здоров'я після завершення воєнних конфліктів на прикладі фокусних країн</w:t>
      </w:r>
      <w:bookmarkEnd w:id="0"/>
      <w:r w:rsidR="00210E71" w:rsidRPr="000915C2">
        <w:rPr>
          <w:rFonts w:asciiTheme="minorHAnsi" w:hAnsiTheme="minorHAnsi" w:cstheme="minorHAnsi"/>
          <w:bCs/>
        </w:rPr>
        <w:t xml:space="preserve"> </w:t>
      </w:r>
      <w:r w:rsidR="00BA1236" w:rsidRPr="00BA1236">
        <w:rPr>
          <w:rFonts w:asciiTheme="minorHAnsi" w:hAnsiTheme="minorHAnsi" w:cstheme="minorHAnsi"/>
          <w:sz w:val="20"/>
          <w:szCs w:val="20"/>
        </w:rPr>
        <w:t>у рамках проєкту “</w:t>
      </w:r>
      <w:r w:rsidR="005D798A" w:rsidRPr="005D798A">
        <w:rPr>
          <w:color w:val="000000"/>
          <w:sz w:val="20"/>
          <w:szCs w:val="20"/>
        </w:rPr>
        <w:t xml:space="preserve"> Підвищення якості рішень Уряду та місцевої влади для протидії пандемії </w:t>
      </w:r>
      <w:r w:rsidR="005D798A" w:rsidRPr="005D798A">
        <w:rPr>
          <w:color w:val="000000"/>
          <w:sz w:val="20"/>
          <w:szCs w:val="20"/>
          <w:lang w:val="en-US"/>
        </w:rPr>
        <w:t>COVID</w:t>
      </w:r>
      <w:r w:rsidR="005D798A" w:rsidRPr="005D798A">
        <w:rPr>
          <w:color w:val="000000"/>
          <w:sz w:val="20"/>
          <w:szCs w:val="20"/>
        </w:rPr>
        <w:t>-19 та відновлення після неї</w:t>
      </w:r>
      <w:r w:rsidR="00BA1236" w:rsidRPr="00BA1236">
        <w:rPr>
          <w:rFonts w:asciiTheme="minorHAnsi" w:hAnsiTheme="minorHAnsi" w:cstheme="minorHAnsi"/>
          <w:sz w:val="20"/>
          <w:szCs w:val="20"/>
        </w:rPr>
        <w:t>”</w:t>
      </w:r>
      <w:r w:rsidR="00BA1236" w:rsidRPr="00BA1236">
        <w:rPr>
          <w:sz w:val="20"/>
          <w:szCs w:val="20"/>
        </w:rPr>
        <w:t xml:space="preserve"> </w:t>
      </w:r>
      <w:r w:rsidRPr="00BA1236">
        <w:rPr>
          <w:sz w:val="20"/>
          <w:szCs w:val="20"/>
        </w:rPr>
        <w:t xml:space="preserve">(далі – Оголошення), ми, які нижче підписалися, пропонуємо нижчезазначені роботи/послуги у відповідності до умов вищезазначеного Оголошення. </w:t>
      </w:r>
    </w:p>
    <w:p w14:paraId="3987909B" w14:textId="40B47369" w:rsidR="00D32740" w:rsidRDefault="00D32740" w:rsidP="00BA1236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65BC67A0" w14:textId="77777777" w:rsidR="00D32740" w:rsidRPr="00BA1236" w:rsidRDefault="00D32740" w:rsidP="00BA1236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0E15F49B" w14:textId="77777777" w:rsidR="00FF674F" w:rsidRDefault="00FE47CB">
      <w:pPr>
        <w:rPr>
          <w:b/>
          <w:sz w:val="20"/>
          <w:szCs w:val="20"/>
        </w:rPr>
      </w:pPr>
      <w:bookmarkStart w:id="1" w:name="_heading=h.1fob9te" w:colFirst="0" w:colLast="0"/>
      <w:bookmarkEnd w:id="1"/>
      <w:r>
        <w:rPr>
          <w:b/>
          <w:sz w:val="20"/>
          <w:szCs w:val="20"/>
        </w:rPr>
        <w:t>1. ЗАГАЛЬНІ ВІДОМОСТІ ПРО УЧАСНИКА/ЦЮ</w:t>
      </w:r>
    </w:p>
    <w:tbl>
      <w:tblPr>
        <w:tblStyle w:val="aff3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6"/>
        <w:gridCol w:w="4999"/>
      </w:tblGrid>
      <w:tr w:rsidR="00FF674F" w14:paraId="57837E5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E5E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87F8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E678" w14:textId="6865C42D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48882ACA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5C91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10C7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5D8F" w14:textId="77777777" w:rsidR="00FF674F" w:rsidRPr="004B0716" w:rsidRDefault="00FF674F" w:rsidP="00BA12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0707D710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5A54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2547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E9B0" w14:textId="32D27747" w:rsidR="00FF674F" w:rsidRPr="004B0716" w:rsidRDefault="00FF674F" w:rsidP="00BA12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420C9928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3749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C761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C89A" w14:textId="4F36B4E3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674F" w14:paraId="3CCA1224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BDE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29C6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ПІБ та посада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49CC" w14:textId="00C636FE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F674F" w14:paraId="59587AA0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D2A9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603A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телефону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922B" w14:textId="607695DF" w:rsidR="00FF674F" w:rsidRPr="004B0716" w:rsidRDefault="00FF674F" w:rsidP="00F2657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F674F" w14:paraId="7082255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2178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CE29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ПІБ, посада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E55E" w14:textId="6D8B67DF" w:rsidR="00FF674F" w:rsidRPr="004B0716" w:rsidRDefault="00FF674F" w:rsidP="00F2657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FF674F" w14:paraId="2C67D3A7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1415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3A2D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B44C" w14:textId="35BCEA18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1F045C04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73E1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39C9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8C97" w14:textId="2B6D5D7B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679C6F37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D328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66DF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веб-сайту: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8F84" w14:textId="1DA80B75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E3B7A" w14:textId="2FCB1B64" w:rsidR="00F2657E" w:rsidRPr="004B0716" w:rsidRDefault="00F2657E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0C91360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7E26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6A98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Банківські реквізити: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2D8C" w14:textId="52CC3DD3" w:rsidR="00FF674F" w:rsidRPr="00F83365" w:rsidRDefault="00FF674F" w:rsidP="00BA123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03DB04CC" w14:textId="77777777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0F58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7F48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BE9A" w14:textId="78B0A351" w:rsidR="004B0716" w:rsidRPr="004B0716" w:rsidRDefault="004B0716" w:rsidP="00BA1236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</w:p>
        </w:tc>
      </w:tr>
    </w:tbl>
    <w:p w14:paraId="1B25FF9D" w14:textId="3919CAFA" w:rsidR="00FF674F" w:rsidRDefault="00FF674F">
      <w:pPr>
        <w:rPr>
          <w:b/>
          <w:sz w:val="20"/>
          <w:szCs w:val="20"/>
        </w:rPr>
      </w:pPr>
    </w:p>
    <w:p w14:paraId="77924D12" w14:textId="42A39902" w:rsidR="00BA1236" w:rsidRDefault="00BA1236">
      <w:pPr>
        <w:rPr>
          <w:b/>
          <w:sz w:val="20"/>
          <w:szCs w:val="20"/>
        </w:rPr>
      </w:pPr>
    </w:p>
    <w:p w14:paraId="1931CA1B" w14:textId="77777777" w:rsidR="00BA1236" w:rsidRDefault="00BA1236">
      <w:pPr>
        <w:rPr>
          <w:b/>
          <w:sz w:val="20"/>
          <w:szCs w:val="20"/>
        </w:rPr>
      </w:pPr>
    </w:p>
    <w:p w14:paraId="1BCBF856" w14:textId="77777777" w:rsidR="00FF674F" w:rsidRDefault="00FE47CB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ЦІНОВА ПРОПОЗИЦІЯ</w:t>
      </w:r>
    </w:p>
    <w:tbl>
      <w:tblPr>
        <w:tblStyle w:val="aff4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0"/>
        <w:gridCol w:w="2865"/>
      </w:tblGrid>
      <w:tr w:rsidR="00FF674F" w14:paraId="56B3E99E" w14:textId="77777777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CDF6" w14:textId="77777777" w:rsidR="00FF674F" w:rsidRDefault="00FE47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4496" w14:textId="7BC42B1A" w:rsidR="00FF674F" w:rsidRDefault="00FE47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робіт/послуг, передбачених тендерною документацією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0FD2" w14:textId="77777777" w:rsidR="00FF674F" w:rsidRDefault="00FE47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Вартість, грн</w:t>
            </w:r>
          </w:p>
        </w:tc>
      </w:tr>
      <w:tr w:rsidR="00FF674F" w14:paraId="2C9ADABF" w14:textId="77777777">
        <w:trPr>
          <w:trHeight w:val="3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35D4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E148" w14:textId="01778A66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43C6" w14:textId="620509B3" w:rsidR="00FF674F" w:rsidRDefault="00FF67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674F" w14:paraId="19BF1792" w14:textId="77777777">
        <w:trPr>
          <w:trHeight w:val="208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A6BB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2981" w14:textId="4264FB84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FDFA" w14:textId="07DCB509" w:rsidR="00FF674F" w:rsidRPr="009C7F03" w:rsidRDefault="00FF67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674F" w14:paraId="2D9931C6" w14:textId="77777777">
        <w:trPr>
          <w:trHeight w:val="173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8809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7378" w14:textId="734B058E" w:rsidR="00FF674F" w:rsidRDefault="00FE47C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ВСЬОГО </w:t>
            </w:r>
            <w:r w:rsidR="0049344E">
              <w:rPr>
                <w:sz w:val="16"/>
                <w:szCs w:val="16"/>
              </w:rPr>
              <w:t xml:space="preserve">З ПОДАТКАМИ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B741" w14:textId="3C04E48A" w:rsidR="00FF674F" w:rsidRPr="00F83365" w:rsidRDefault="00FF67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674F" w14:paraId="2F2503D8" w14:textId="77777777">
        <w:trPr>
          <w:trHeight w:val="307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47D4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741F" w14:textId="77777777" w:rsidR="00FF674F" w:rsidRDefault="00FE47C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Знижка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9683" w14:textId="22C04CFD" w:rsidR="00FF674F" w:rsidRDefault="00FF674F" w:rsidP="00BA123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F674F" w14:paraId="4BF423CB" w14:textId="77777777">
        <w:trPr>
          <w:trHeight w:val="2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50A8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B" w14:textId="77777777" w:rsidR="00FF674F" w:rsidRDefault="00FE47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96EF" w14:textId="4FDEC941" w:rsidR="00FF674F" w:rsidRDefault="009C7F0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F674F" w14:paraId="0A6F3881" w14:textId="77777777">
        <w:trPr>
          <w:trHeight w:val="25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FBD5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1975" w14:textId="7A7190EA" w:rsidR="00FF674F" w:rsidRPr="009C7F03" w:rsidRDefault="00FE47C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79BE" w14:textId="26A8C011" w:rsidR="00FF674F" w:rsidRDefault="00FF674F" w:rsidP="0049344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7D77577" w14:textId="3D0B1C98" w:rsidR="00FF674F" w:rsidRDefault="00FE47C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Цінова пропозиція складена станом на  </w:t>
      </w:r>
      <w:r w:rsidR="00BA1236" w:rsidRPr="00BA1236">
        <w:rPr>
          <w:b/>
          <w:bCs/>
          <w:sz w:val="20"/>
          <w:szCs w:val="20"/>
          <w:u w:val="single"/>
        </w:rPr>
        <w:t>ДАТА</w:t>
      </w:r>
    </w:p>
    <w:p w14:paraId="4FC256CF" w14:textId="6860A4F8" w:rsidR="00FF674F" w:rsidRPr="00D32740" w:rsidRDefault="00FE47CB" w:rsidP="00BA1236">
      <w:pPr>
        <w:widowControl w:val="0"/>
        <w:spacing w:after="0" w:line="240" w:lineRule="auto"/>
        <w:jc w:val="both"/>
        <w:rPr>
          <w:sz w:val="16"/>
          <w:szCs w:val="16"/>
        </w:rPr>
      </w:pPr>
      <w:r w:rsidRPr="00D32740">
        <w:rPr>
          <w:sz w:val="16"/>
          <w:szCs w:val="16"/>
        </w:rPr>
        <w:t xml:space="preserve">Підписанням та поданням цієї комерційної пропозиції </w:t>
      </w:r>
      <w:r w:rsidR="0049344E" w:rsidRPr="00D32740">
        <w:rPr>
          <w:sz w:val="16"/>
          <w:szCs w:val="16"/>
        </w:rPr>
        <w:t xml:space="preserve">на </w:t>
      </w:r>
      <w:r w:rsidR="00BA1236" w:rsidRPr="00D32740">
        <w:rPr>
          <w:sz w:val="16"/>
          <w:szCs w:val="16"/>
        </w:rPr>
        <w:t xml:space="preserve">надання послуг </w:t>
      </w:r>
      <w:r w:rsidR="00210E71" w:rsidRPr="00210E71">
        <w:rPr>
          <w:rFonts w:asciiTheme="minorHAnsi" w:hAnsiTheme="minorHAnsi" w:cstheme="minorHAnsi"/>
          <w:bCs/>
          <w:sz w:val="16"/>
          <w:szCs w:val="16"/>
        </w:rPr>
        <w:t>розробки дизайну та проведення дослідження про міжнародний досвід відновлення систем охорони здоров'я після завершення воєнних конфліктів на прикладі фокусних країн</w:t>
      </w:r>
      <w:r w:rsidR="00210E71" w:rsidRPr="00D32740">
        <w:rPr>
          <w:sz w:val="16"/>
          <w:szCs w:val="16"/>
        </w:rPr>
        <w:t xml:space="preserve"> </w:t>
      </w:r>
      <w:r w:rsidR="00BA1236" w:rsidRPr="005D798A">
        <w:rPr>
          <w:rFonts w:asciiTheme="minorHAnsi" w:hAnsiTheme="minorHAnsi" w:cstheme="minorHAnsi"/>
          <w:sz w:val="20"/>
          <w:szCs w:val="20"/>
        </w:rPr>
        <w:t>“</w:t>
      </w:r>
      <w:r w:rsidR="005D798A" w:rsidRPr="005D798A">
        <w:rPr>
          <w:color w:val="000000"/>
          <w:sz w:val="20"/>
          <w:szCs w:val="20"/>
        </w:rPr>
        <w:t xml:space="preserve"> </w:t>
      </w:r>
      <w:r w:rsidR="005D798A" w:rsidRPr="005D798A">
        <w:rPr>
          <w:color w:val="000000"/>
          <w:sz w:val="16"/>
          <w:szCs w:val="16"/>
        </w:rPr>
        <w:t xml:space="preserve">Підвищення якості рішень Уряду та місцевої влади для протидії пандемії </w:t>
      </w:r>
      <w:r w:rsidR="005D798A" w:rsidRPr="005D798A">
        <w:rPr>
          <w:color w:val="000000"/>
          <w:sz w:val="16"/>
          <w:szCs w:val="16"/>
          <w:lang w:val="en-US"/>
        </w:rPr>
        <w:t>COVID</w:t>
      </w:r>
      <w:r w:rsidR="005D798A" w:rsidRPr="005D798A">
        <w:rPr>
          <w:color w:val="000000"/>
          <w:sz w:val="16"/>
          <w:szCs w:val="16"/>
        </w:rPr>
        <w:t>-19 та відновлення після неї</w:t>
      </w:r>
      <w:r w:rsidR="005D798A" w:rsidRPr="00D32740">
        <w:rPr>
          <w:rFonts w:asciiTheme="minorHAnsi" w:hAnsiTheme="minorHAnsi" w:cstheme="minorHAnsi"/>
          <w:sz w:val="16"/>
          <w:szCs w:val="16"/>
        </w:rPr>
        <w:t xml:space="preserve"> </w:t>
      </w:r>
      <w:r w:rsidR="00BA1236" w:rsidRPr="00D32740">
        <w:rPr>
          <w:rFonts w:asciiTheme="minorHAnsi" w:hAnsiTheme="minorHAnsi" w:cstheme="minorHAnsi"/>
          <w:sz w:val="16"/>
          <w:szCs w:val="16"/>
        </w:rPr>
        <w:t xml:space="preserve">” </w:t>
      </w:r>
      <w:r w:rsidR="00BA1236" w:rsidRPr="00D32740">
        <w:rPr>
          <w:sz w:val="16"/>
          <w:szCs w:val="16"/>
        </w:rPr>
        <w:t xml:space="preserve"> </w:t>
      </w:r>
      <w:r w:rsidRPr="00D32740">
        <w:rPr>
          <w:sz w:val="16"/>
          <w:szCs w:val="16"/>
        </w:rPr>
        <w:t>зобов’язується у випадку визначення</w:t>
      </w:r>
      <w:r w:rsidR="00862A3D" w:rsidRPr="00D32740">
        <w:rPr>
          <w:sz w:val="16"/>
          <w:szCs w:val="16"/>
        </w:rPr>
        <w:t xml:space="preserve"> цієї пропозиції переможною ГО «</w:t>
      </w:r>
      <w:r w:rsidRPr="00D32740">
        <w:rPr>
          <w:sz w:val="16"/>
          <w:szCs w:val="16"/>
        </w:rPr>
        <w:t>Л</w:t>
      </w:r>
      <w:r w:rsidR="00D32740">
        <w:rPr>
          <w:sz w:val="16"/>
          <w:szCs w:val="16"/>
        </w:rPr>
        <w:t>ЗІ</w:t>
      </w:r>
      <w:r w:rsidR="00862A3D" w:rsidRPr="00D32740">
        <w:rPr>
          <w:sz w:val="16"/>
          <w:szCs w:val="16"/>
        </w:rPr>
        <w:t>»</w:t>
      </w:r>
      <w:r w:rsidRPr="00D32740">
        <w:rPr>
          <w:sz w:val="16"/>
          <w:szCs w:val="16"/>
        </w:rPr>
        <w:t xml:space="preserve"> (далі – Лабораторія):</w:t>
      </w:r>
    </w:p>
    <w:p w14:paraId="6D891159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14:paraId="3E6B6E7B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3A7A34EF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надати необхідні послуги/виконати роботи/поставити товари у відповідності з умовами цієї комерційної пропозиції;</w:t>
      </w:r>
    </w:p>
    <w:p w14:paraId="7D4D7CE7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20BDA015" w14:textId="77777777" w:rsidR="00FF674F" w:rsidRDefault="00FE4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Підписанням та поданням цієї комерційної пропозиції учасник/ця тендеру погоджується з наступним:</w:t>
      </w:r>
    </w:p>
    <w:p w14:paraId="25B30A57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учасник/ця ознайомлений/а з Оголошенням, яке опубліковано на веб-сайті Лабораторії та/або спеціалізованому ЕТМ;</w:t>
      </w:r>
    </w:p>
    <w:p w14:paraId="60A074BC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учасників/ць закупівлі або потенційних учасників/ць закупівлі;</w:t>
      </w:r>
    </w:p>
    <w:p w14:paraId="06AB34EE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Лабораторія залишає за собою право відхилити комерційні пропозиції всіх учасників/ць тендеру у разі їхньої невідповідності;</w:t>
      </w:r>
    </w:p>
    <w:p w14:paraId="711A3FC3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ця комерційна пропозиція та Оголошення є невід’ємними частинами відповідного договору, котрий буде укладений між Лабораторією та переможцем/ицею тендеру;</w:t>
      </w:r>
    </w:p>
    <w:p w14:paraId="170D099D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участь у тендері пов’язаних осіб або змова учасників/ць тендеру забороняється. У разі виявлення таких фактів, результати тендеру будуть скасовані або договір з відповідним/ою постачальником/цею буде достроково розірвано в односторонньому порядку з обов’язковим поверненням всього отриманого таким/ою виконавцем/ицею за договором та відшкодуванням збитків, завданих Лабораторії;</w:t>
      </w:r>
    </w:p>
    <w:p w14:paraId="6A36838E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переможець/иця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4861CF47" w14:textId="77777777" w:rsidR="00FF674F" w:rsidRDefault="00FF674F">
      <w:pPr>
        <w:spacing w:line="276" w:lineRule="auto"/>
        <w:jc w:val="both"/>
        <w:rPr>
          <w:sz w:val="16"/>
          <w:szCs w:val="16"/>
        </w:rPr>
      </w:pPr>
    </w:p>
    <w:p w14:paraId="6B59B7D3" w14:textId="77777777" w:rsidR="00FF674F" w:rsidRDefault="00FE47C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14:paraId="6BEDFC1B" w14:textId="0FAD0D31" w:rsidR="00FF674F" w:rsidRDefault="00FE47C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Уповноважена особа на підпис комерційної пропозиції від імені </w:t>
      </w:r>
    </w:p>
    <w:p w14:paraId="23ED8BBA" w14:textId="277F29EB" w:rsidR="00FF674F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</w:p>
    <w:p w14:paraId="6B16120B" w14:textId="6D6F1A2E" w:rsidR="00FF674F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ПІБ: </w:t>
      </w:r>
    </w:p>
    <w:p w14:paraId="48BF2808" w14:textId="6528E892" w:rsidR="00FF674F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Посада: </w:t>
      </w:r>
    </w:p>
    <w:p w14:paraId="686F9472" w14:textId="0A5B807C" w:rsidR="00FF674F" w:rsidRPr="0049344E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Підпис: </w:t>
      </w:r>
    </w:p>
    <w:p w14:paraId="1B9EB594" w14:textId="77777777" w:rsidR="00FF674F" w:rsidRPr="00954D81" w:rsidRDefault="00FF674F">
      <w:pPr>
        <w:jc w:val="right"/>
      </w:pPr>
    </w:p>
    <w:sectPr w:rsidR="00FF674F" w:rsidRPr="00954D81" w:rsidSect="00A45B35">
      <w:pgSz w:w="11900" w:h="16840"/>
      <w:pgMar w:top="709" w:right="707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AF6"/>
    <w:multiLevelType w:val="hybridMultilevel"/>
    <w:tmpl w:val="A4F0F6BA"/>
    <w:lvl w:ilvl="0" w:tplc="8AFC88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2B69B1"/>
    <w:multiLevelType w:val="multilevel"/>
    <w:tmpl w:val="CD9089B6"/>
    <w:lvl w:ilvl="0">
      <w:start w:val="1"/>
      <w:numFmt w:val="bullet"/>
      <w:pStyle w:val="3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8D10CA"/>
    <w:multiLevelType w:val="multilevel"/>
    <w:tmpl w:val="9432CD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88254C"/>
    <w:multiLevelType w:val="multilevel"/>
    <w:tmpl w:val="16529A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D80BF3"/>
    <w:multiLevelType w:val="multilevel"/>
    <w:tmpl w:val="269815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6082402">
    <w:abstractNumId w:val="4"/>
  </w:num>
  <w:num w:numId="2" w16cid:durableId="1259607274">
    <w:abstractNumId w:val="2"/>
  </w:num>
  <w:num w:numId="3" w16cid:durableId="204368655">
    <w:abstractNumId w:val="3"/>
  </w:num>
  <w:num w:numId="4" w16cid:durableId="633561509">
    <w:abstractNumId w:val="1"/>
  </w:num>
  <w:num w:numId="5" w16cid:durableId="14800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74F"/>
    <w:rsid w:val="00075BB3"/>
    <w:rsid w:val="000C65E2"/>
    <w:rsid w:val="000D3B5A"/>
    <w:rsid w:val="00210E71"/>
    <w:rsid w:val="002825E3"/>
    <w:rsid w:val="002862C4"/>
    <w:rsid w:val="00295405"/>
    <w:rsid w:val="002D1841"/>
    <w:rsid w:val="00402319"/>
    <w:rsid w:val="00443FC2"/>
    <w:rsid w:val="0049344E"/>
    <w:rsid w:val="004B0716"/>
    <w:rsid w:val="004C3FFA"/>
    <w:rsid w:val="004E326B"/>
    <w:rsid w:val="005D798A"/>
    <w:rsid w:val="0065659C"/>
    <w:rsid w:val="0067116D"/>
    <w:rsid w:val="006D5F5A"/>
    <w:rsid w:val="0072544B"/>
    <w:rsid w:val="00845C8C"/>
    <w:rsid w:val="00862A3D"/>
    <w:rsid w:val="00864AD8"/>
    <w:rsid w:val="00954D81"/>
    <w:rsid w:val="009C7F03"/>
    <w:rsid w:val="00A45B35"/>
    <w:rsid w:val="00BA1236"/>
    <w:rsid w:val="00D23A6C"/>
    <w:rsid w:val="00D32740"/>
    <w:rsid w:val="00DA570E"/>
    <w:rsid w:val="00E240A5"/>
    <w:rsid w:val="00F213B4"/>
    <w:rsid w:val="00F2657E"/>
    <w:rsid w:val="00F83365"/>
    <w:rsid w:val="00FC01E5"/>
    <w:rsid w:val="00FE47CB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1B81"/>
  <w15:docId w15:val="{B434729E-9A3F-4C4A-882D-8D1C84EA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35"/>
  </w:style>
  <w:style w:type="paragraph" w:styleId="1">
    <w:name w:val="heading 1"/>
    <w:basedOn w:val="a"/>
    <w:next w:val="a"/>
    <w:uiPriority w:val="9"/>
    <w:qFormat/>
    <w:rsid w:val="00A45B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45B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uiPriority w:val="9"/>
    <w:semiHidden/>
    <w:unhideWhenUsed/>
    <w:qFormat/>
    <w:rsid w:val="00A45B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45B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45B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45B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45B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45B3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uiPriority w:val="99"/>
    <w:semiHidden/>
    <w:unhideWhenUsed/>
    <w:rsid w:val="00A45B35"/>
    <w:rPr>
      <w:sz w:val="16"/>
      <w:szCs w:val="16"/>
    </w:rPr>
  </w:style>
  <w:style w:type="paragraph" w:styleId="a5">
    <w:name w:val="annotation text"/>
    <w:basedOn w:val="a"/>
    <w:link w:val="10"/>
    <w:uiPriority w:val="99"/>
    <w:semiHidden/>
    <w:unhideWhenUsed/>
    <w:rsid w:val="00A45B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a7">
    <w:name w:val="Table Grid"/>
    <w:basedOn w:val="a1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B0A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rsid w:val="00A45B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annotation subject"/>
    <w:basedOn w:val="a5"/>
    <w:next w:val="a5"/>
    <w:link w:val="aff"/>
    <w:uiPriority w:val="99"/>
    <w:semiHidden/>
    <w:unhideWhenUsed/>
    <w:rsid w:val="00A45B35"/>
    <w:rPr>
      <w:b/>
      <w:bCs/>
    </w:rPr>
  </w:style>
  <w:style w:type="character" w:customStyle="1" w:styleId="aff">
    <w:name w:val="Тема примечания Знак"/>
    <w:basedOn w:val="10"/>
    <w:link w:val="afe"/>
    <w:uiPriority w:val="99"/>
    <w:semiHidden/>
    <w:rsid w:val="00A45B35"/>
    <w:rPr>
      <w:b/>
      <w:bCs/>
      <w:sz w:val="20"/>
      <w:szCs w:val="20"/>
    </w:rPr>
  </w:style>
  <w:style w:type="character" w:customStyle="1" w:styleId="10">
    <w:name w:val="Текст примечания Знак1"/>
    <w:link w:val="a5"/>
    <w:uiPriority w:val="99"/>
    <w:semiHidden/>
    <w:rsid w:val="00A45B35"/>
    <w:rPr>
      <w:sz w:val="20"/>
      <w:szCs w:val="20"/>
    </w:rPr>
  </w:style>
  <w:style w:type="table" w:customStyle="1" w:styleId="aff0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5">
    <w:name w:val="Revision"/>
    <w:hidden/>
    <w:uiPriority w:val="99"/>
    <w:semiHidden/>
    <w:rsid w:val="004E326B"/>
    <w:pPr>
      <w:spacing w:after="0" w:line="240" w:lineRule="auto"/>
    </w:pPr>
  </w:style>
  <w:style w:type="paragraph" w:styleId="aff6">
    <w:name w:val="Balloon Text"/>
    <w:basedOn w:val="a"/>
    <w:link w:val="aff7"/>
    <w:uiPriority w:val="99"/>
    <w:semiHidden/>
    <w:unhideWhenUsed/>
    <w:rsid w:val="002954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95405"/>
    <w:rPr>
      <w:rFonts w:ascii="Times New Roman" w:hAnsi="Times New Roman" w:cs="Times New Roman"/>
      <w:sz w:val="18"/>
      <w:szCs w:val="18"/>
    </w:rPr>
  </w:style>
  <w:style w:type="character" w:styleId="aff8">
    <w:name w:val="Hyperlink"/>
    <w:basedOn w:val="a0"/>
    <w:unhideWhenUsed/>
    <w:rsid w:val="00F2657E"/>
    <w:rPr>
      <w:color w:val="0563C1" w:themeColor="hyperlink"/>
      <w:u w:val="single"/>
    </w:rPr>
  </w:style>
  <w:style w:type="character" w:styleId="aff9">
    <w:name w:val="Unresolved Mention"/>
    <w:basedOn w:val="a0"/>
    <w:uiPriority w:val="99"/>
    <w:semiHidden/>
    <w:unhideWhenUsed/>
    <w:rsid w:val="00F2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FMVVYawEMEzRhMwfbRQ0KpZ/g==">AMUW2mUfsXGhxrWZEtSyZDLbrU28yXd3CxGjQ2ef8xjvFj8PImmD1k/aSkVLXp7iq+hyNGeqAKTm2yOeRYfJhWAKOhFZY0UwIymLQ4ZuRF6c5F9mxKHKLn4wU1HWPbKZNjY/LF8nFEzU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2022-02-07T09:24:00Z</cp:lastPrinted>
  <dcterms:created xsi:type="dcterms:W3CDTF">2021-12-07T12:30:00Z</dcterms:created>
  <dcterms:modified xsi:type="dcterms:W3CDTF">2022-05-07T14:48:00Z</dcterms:modified>
</cp:coreProperties>
</file>