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ОГОЛОШЕННЯ ПРО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ПРОВЕДЕННЯ ТЕНДЕРУ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на послуги з комунікації аналітичних брифів  в рамках проєкту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«Лабораторія законодавчих ініціатив 2021 – 2023»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666"/>
        <w:gridCol w:w="5754"/>
        <w:gridCol w:w="150"/>
        <w:tblGridChange w:id="0">
          <w:tblGrid>
            <w:gridCol w:w="495"/>
            <w:gridCol w:w="3666"/>
            <w:gridCol w:w="5754"/>
            <w:gridCol w:w="150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ЗАМОВНИК: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Повна назва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ГРОМАДСЬКА ОРГАНІЗАЦІЯ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Ідентифікаційний код за ЄДРПОУ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Адреса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Юридична адреса: Україна, 04070, м. Київ, вул. Г. Сковороди, 2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Відповідальний за проведення тендеру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Прізвище, ім’я, по батькові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Берус Інесса Олександрівна</w:t>
            </w:r>
          </w:p>
        </w:tc>
      </w:tr>
      <w:tr>
        <w:trPr>
          <w:trHeight w:val="26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Предмет закупівлі, кількість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Послуги з комунікації аналітичних брифів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 рамках проєкту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в рамках проєкту «Лабораторія законодавчих ініціатив 2021 – 2023»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Україна, червень 2021 р – березень 2022 р.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ПРОЦЕДУРА ЗАКУПІВЛІ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Тендер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ПОДАННЯ ТЕНДЕРНОЇ ДОКУМЕНТАЦІЇ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ib@parliament.org.ua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Термін подання пропозицій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травня 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червн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я 2021 року</w:t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Документи, що необхідно подати з пропозицією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1.</w:t>
              <w:tab/>
              <w:t xml:space="preserve">заповнену форму заявки на участь у закупівлі відповідно до вимог документації про закупівлю (Додаток 2/1);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2.</w:t>
              <w:tab/>
              <w:t xml:space="preserve">копії установчих документів (в чинній редакції), з додатком наявних змін (для юр. осіб) або документи, що засвідчують ПІБ, номер контактного телефону, РНОКПП (для ФОП);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3.</w:t>
              <w:tab/>
              <w:t xml:space="preserve">документ, що підтверджує реєстрацію як суб’єкта підприємницької діяльності відповідно до законодавства;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4.</w:t>
              <w:tab/>
              <w:t xml:space="preserve">довідку про взяття на облік платника податків;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5.</w:t>
              <w:tab/>
              <w:t xml:space="preserve">документ, що підтверджує повноваження особи на здійснення дій від імені учасника закупівлі;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6.</w:t>
              <w:tab/>
              <w:t xml:space="preserve">пропозицію з ціною по договору, або з ціною за одиницю послуги;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7.</w:t>
              <w:tab/>
              <w:t xml:space="preserve">інші документи або копії документів, які підтверджують кваліфікацію Учасника/ів (за наявності);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80" w:hanging="180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8. банківські реквізити.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УМОВИ ОПЛАТИ ПОСЛУГ ПОСТАЧАЛЬНИКІВ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Оплата згідно умов договору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ПРИЄДНАННЯ ДО ЦІННОСТЕЙ </w:t>
            </w:r>
          </w:p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ГО «ЛЗІ»</w:t>
            </w:r>
          </w:p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(відображено в договорі про надання послуг)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Надавач повинен поділяти цінності Лабораторії: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▪ 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▪ 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hanging="16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▪ висловлювати беззаперечну нетерпимість до будь яких проявів корупції чи хабарництва.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1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ІНФОРМАЦІЯ ПРО МОВУ, ЯКОЮ ПОВИННО БУТИ СКЛАДЕНО ТЕНДЕРНІ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ПРОПОЗИЦІЇ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80" w:hanging="14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Під час проведення процедури закупівлі усі документи, що стосуються  тендерної пропозиції та складаються безпосередньо Учасником, викладаються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англійською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мовою.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 разі надання інших документів складених  мовою іншою ніж англійська мова, такі документи повинні супроводжуватися перекладом англійською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англійською мовою.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РОЗКРИТТЯ ТЕНДЕРНИХ ПРОПОЗИЦІЙ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Місце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Електронна поштова скринька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червня 2021 р.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ДОДАТКОВА ІНФОРМАЦІЯ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Додаток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Технічне завдання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Додаток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Заявка на участь у тендері</w:t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5134"/>
        <w:tblGridChange w:id="0">
          <w:tblGrid>
            <w:gridCol w:w="4505"/>
            <w:gridCol w:w="5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1"/>
              <w:widowControl w:val="0"/>
              <w:tabs>
                <w:tab w:val="left" w:pos="720"/>
              </w:tabs>
              <w:spacing w:line="228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№ 2021-05-14512/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Додаток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7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Наказ № 05/24-2021</w:t>
            </w:r>
          </w:p>
          <w:p w:rsidR="00000000" w:rsidDel="00000000" w:rsidP="00000000" w:rsidRDefault="00000000" w:rsidRPr="00000000" w14:paraId="0000007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від 24 травня 2021 р   </w:t>
            </w:r>
          </w:p>
        </w:tc>
      </w:tr>
    </w:tbl>
    <w:p w:rsidR="00000000" w:rsidDel="00000000" w:rsidP="00000000" w:rsidRDefault="00000000" w:rsidRPr="00000000" w14:paraId="00000078">
      <w:pPr>
        <w:keepNext w:val="1"/>
        <w:widowControl w:val="0"/>
        <w:tabs>
          <w:tab w:val="left" w:pos="720"/>
        </w:tabs>
        <w:spacing w:after="0" w:line="228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widowControl w:val="0"/>
        <w:tabs>
          <w:tab w:val="left" w:pos="720"/>
        </w:tabs>
        <w:spacing w:after="0" w:line="228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7A">
      <w:pPr>
        <w:keepNext w:val="1"/>
        <w:widowControl w:val="0"/>
        <w:tabs>
          <w:tab w:val="left" w:pos="540"/>
        </w:tabs>
        <w:spacing w:after="0" w:line="228" w:lineRule="auto"/>
        <w:ind w:firstLine="54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на послуги з комунікації аналітичних брифів  в рамках проєкту “Лабораторія законодавчих ініціатив</w:t>
      </w:r>
    </w:p>
    <w:p w:rsidR="00000000" w:rsidDel="00000000" w:rsidP="00000000" w:rsidRDefault="00000000" w:rsidRPr="00000000" w14:paraId="0000007B">
      <w:pPr>
        <w:keepNext w:val="1"/>
        <w:widowControl w:val="0"/>
        <w:tabs>
          <w:tab w:val="left" w:pos="540"/>
        </w:tabs>
        <w:spacing w:after="0" w:line="228" w:lineRule="auto"/>
        <w:ind w:firstLine="54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2021 - 2023”, який фінансується Шведським агентством міжнародної співпраці  </w:t>
      </w:r>
    </w:p>
    <w:p w:rsidR="00000000" w:rsidDel="00000000" w:rsidP="00000000" w:rsidRDefault="00000000" w:rsidRPr="00000000" w14:paraId="0000007C">
      <w:pPr>
        <w:keepNext w:val="1"/>
        <w:widowControl w:val="0"/>
        <w:tabs>
          <w:tab w:val="left" w:pos="540"/>
        </w:tabs>
        <w:spacing w:after="0" w:line="228" w:lineRule="auto"/>
        <w:ind w:firstLine="54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та розвитку Sida для ГО «ЛЗІ»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 Основне завдання: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ГРОМАДСЬКА ОРГАНІЗАЦІЯ «ЛАБОРАТОРІЯ ЗАКОНОДАВЧИХ ІНІЦІАТИВ» (далі – Лабораторія) має намір замовити послуги з комунікації 24 аналітичних брифів Лабораторії щодо різних поточних суспільно-політичних проблем України: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розробка адвокаційної кампанії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з просування формату аналітичних брифів для охоплення цільової аудиторії та залучення нових читачів до аналітичної продукції Лабораторії;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реалізація адвокаційної кампанії, в тому числі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організація офлайн- та онлайн-заходів заходів для комунікації проблем,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описаних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в аналітичних брифах (24 документи впродовж періоду), зі стейкхолдерами.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Перелік Послуг не є вичерпним та може доповнюватися додатковими завданнями із комунікаційної діяльності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Постановка завдань в частині змісту, термінів та умов надання послуг здійснюватиметься керівником/цею Комунікаційного напряму, шляхом оформлення деталізованого Технічного завдання на надання послуг.   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До участі у тендері запрошуємо фахового спеціаліста для надання послуги.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 Обсяг послуг: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Очікуваний початок надання послуг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червень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2021 року, очікуване завершення надання послуг – 31 березня 2022 року. Загальний обсяг - не більше 110 годин впродовж періоду.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24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 Умови співпраці: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Надавач послуг працює незалежно і не є суб’єктом стосунків роботодавець-працівник, партнером, спільним підприємством чи агентом Лабораторії.  Надавач послуг самостійно несе відповідальність за декларування прибутків, за несплату або несвоєчасну сплату та сплату податків та зборів, відповідно до положень податкового законодавства України. </w:t>
      </w:r>
    </w:p>
    <w:p w:rsidR="00000000" w:rsidDel="00000000" w:rsidP="00000000" w:rsidRDefault="00000000" w:rsidRPr="00000000" w14:paraId="0000008B">
      <w:pPr>
        <w:spacing w:after="0" w:before="24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Вимоги до надавача/ки послуг: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мати право на здійснення діяльності, передбаченої цим технічним завданням (КВЕД: 90.03 та/або 70.21);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відмінно володіти українською мовою;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розуміти та поділяти демократичні цінності, поважати права людини, сповідувати принципи рівності та недискримінації, відповідального ставлення до навколишнього середовища, територіальної цілісності України;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мати досвід підготовки журналістських матеріалів-розслідувань не менше 2 років;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line="240" w:lineRule="auto"/>
        <w:ind w:left="142" w:hanging="15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мати повну вищу освіту (диплом бакалавра, спеціаліста або магістра) за спеціальностями: журналіст або зв’язки з громадськістю (пріоритетні), проте можуть розглядатися й інші спеціальності.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Інші умови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Надіславши лист-цінову пропозицію на участь у тендері, потенційні постачальники засвідчують, що вони не є юридичними особами, зареєстрованими на території Автономної Республіки Крим або юридичними особами, створеними внаслідок намагань Російської Федерації поширити своє законодавство на територію АР, особами, які здійснюють свою діяльність з території АРК або особами, які проживають на території АРК.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Заявки мають бути складені англійською мовою та надіслані не пізніше 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чер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вня 2021 року на електронну поштову скриньку ib@parlia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ment.org.ua  (з поміткою «Тендер на надання послуги з комунікації аналітичних брифів»).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Додаток 2/1</w:t>
      </w:r>
    </w:p>
    <w:p w:rsidR="00000000" w:rsidDel="00000000" w:rsidP="00000000" w:rsidRDefault="00000000" w:rsidRPr="00000000" w14:paraId="000000BD">
      <w:pPr>
        <w:spacing w:after="12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ЗАЯВКА НА УЧАСТЬ У ТЕНДЕРІ</w:t>
      </w:r>
    </w:p>
    <w:tbl>
      <w:tblPr>
        <w:tblStyle w:val="Table3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6"/>
        <w:gridCol w:w="4594"/>
        <w:tblGridChange w:id="0">
          <w:tblGrid>
            <w:gridCol w:w="5336"/>
            <w:gridCol w:w="4594"/>
          </w:tblGrid>
        </w:tblGridChange>
      </w:tblGrid>
      <w:tr>
        <w:trPr>
          <w:trHeight w:val="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Заповнюється Фахівцем/чинею із закупівель ГО “ЛАБОРАТОРІЯ ЗАКОНОДАВЧИХ ІНІЦІАТИВ”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ind w:left="10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Дата надходження заявки: “______” ________________ 2021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ind w:left="10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Реєстраційний номер: № </w:t>
            </w:r>
          </w:p>
        </w:tc>
      </w:tr>
      <w:tr>
        <w:trPr>
          <w:trHeight w:val="25" w:hRule="atLeast"/>
        </w:trPr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76" w:lineRule="auto"/>
              <w:ind w:left="10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ФіЗ ____________________________________ прізвище, ініціали</w:t>
            </w:r>
          </w:p>
        </w:tc>
      </w:tr>
    </w:tbl>
    <w:p w:rsidR="00000000" w:rsidDel="00000000" w:rsidP="00000000" w:rsidRDefault="00000000" w:rsidRPr="00000000" w14:paraId="000000C5">
      <w:pPr>
        <w:spacing w:line="276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C7">
      <w:pPr>
        <w:spacing w:after="12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Ознайомившись із оголошенням про проведення тендеру на &lt;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найменування предмету закупівлі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&gt; (далі – Оголошення), ми, які нижче підписалися, пропонуємо нижчезазначені товари/роботи/послуги у відповідності до умов вищезазначеного Оголошення. </w:t>
      </w:r>
    </w:p>
    <w:p w:rsidR="00000000" w:rsidDel="00000000" w:rsidP="00000000" w:rsidRDefault="00000000" w:rsidRPr="00000000" w14:paraId="000000C8">
      <w:pPr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1. ЗАГАЛЬНІ ВІДОМОСТІ ПРО УЧАСНИКА/ЦЮ</w:t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5"/>
        <w:gridCol w:w="4256"/>
        <w:gridCol w:w="4999"/>
        <w:tblGridChange w:id="0">
          <w:tblGrid>
            <w:gridCol w:w="525"/>
            <w:gridCol w:w="4256"/>
            <w:gridCol w:w="499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Найменування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ПІБ та посада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Номер телефону керівника/ці учасника/ці: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ПІБ, посада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ind w:right="-11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Види діяльності учасника згідно Довідки з ЄДР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ind w:left="100" w:firstLine="0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2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2. ЦІНОВА ПРОПОЗИЦІЯ</w:t>
      </w:r>
    </w:p>
    <w:tbl>
      <w:tblPr>
        <w:tblStyle w:val="Table5"/>
        <w:tblW w:w="976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6390"/>
        <w:gridCol w:w="2865"/>
        <w:tblGridChange w:id="0">
          <w:tblGrid>
            <w:gridCol w:w="510"/>
            <w:gridCol w:w="6390"/>
            <w:gridCol w:w="2865"/>
          </w:tblGrid>
        </w:tblGridChange>
      </w:tblGrid>
      <w:tr>
        <w:trPr>
          <w:trHeight w:val="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Найменування товарів/робіт/послуг, передбачених тендерною документацією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Вартість, грн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ВСЬОГО БЕЗ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Знижка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РАЗОМ ЗІ ЗНИЖКОЮ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ВСЬОГО 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76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Цінова пропозиція складена станом на  __ ____________ 2021 р. </w:t>
      </w:r>
    </w:p>
    <w:p w:rsidR="00000000" w:rsidDel="00000000" w:rsidP="00000000" w:rsidRDefault="00000000" w:rsidRPr="00000000" w14:paraId="00000109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Підписанням та поданням цієї комерційної пропозиції &lt;</w:t>
      </w: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повне найменування учасника/ці тендеру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&gt;  зобов’язується у випадку визначення цієї пропозиції переможною ГО “ЛАБОРАТОРІЯ ЗАКОНОДАВЧИХ ІНІЦІАТИВ” (далі – Лабораторія):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надати необхідні послуги/виконати роботи/поставити товари у відповідності з умовами цієї комерційної пропозиції;</w:t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2" w:right="0" w:hanging="153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Підписанням та поданням цієї комерційної пропозиції учасник/ця тендеру погоджується з наступним: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учасник/ця ознайомлений/а з Оголошенням, яке опубліковано на веб-сайті Лабораторії та/або спеціалізованому ЕТМ;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учасників/ць закупівлі або потенційних учасників/ць закупівлі;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Лабораторія залишає за собою право відхилити комерційні пропозиції всіх учасників/ць тендеру у разі їхньої невідповідності;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ця комерційна пропозиція та Оголошення є невід’ємними частинами відповідного договору, котрий буде укладений між Лабораторією та переможцем/ицею тендеру;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участь у тендері пов’язаних осіб або змова учасників/ць тендеру забороняється. У разі виявлення таких фактів, результати тендеру будуть скасовані або договір з відповідним/ою постачальником/цею буде достроково розірвано в односторонньому порядку з обов’язковим поверненням всього отриманого таким/ою виконавцем/ицею за договором та відшкодуванням збитків, завданих Лабораторії;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переможець/иця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115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:rsidR="00000000" w:rsidDel="00000000" w:rsidP="00000000" w:rsidRDefault="00000000" w:rsidRPr="00000000" w14:paraId="00000117">
      <w:pPr>
        <w:spacing w:line="276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Уповноважена особа на підпис комерційної пропозиції від імені &lt;назва учасника/ці тендеру&gt; згідно статуту:</w:t>
      </w:r>
    </w:p>
    <w:p w:rsidR="00000000" w:rsidDel="00000000" w:rsidP="00000000" w:rsidRDefault="00000000" w:rsidRPr="00000000" w14:paraId="000001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Дата: </w:t>
      </w:r>
    </w:p>
    <w:p w:rsidR="00000000" w:rsidDel="00000000" w:rsidP="00000000" w:rsidRDefault="00000000" w:rsidRPr="00000000" w14:paraId="0000011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ПІБ підписанта/ки: </w:t>
      </w:r>
    </w:p>
    <w:p w:rsidR="00000000" w:rsidDel="00000000" w:rsidP="00000000" w:rsidRDefault="00000000" w:rsidRPr="00000000" w14:paraId="0000011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Посада: </w:t>
      </w:r>
    </w:p>
    <w:p w:rsidR="00000000" w:rsidDel="00000000" w:rsidP="00000000" w:rsidRDefault="00000000" w:rsidRPr="00000000" w14:paraId="0000011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Підпис: </w:t>
      </w:r>
    </w:p>
    <w:p w:rsidR="00000000" w:rsidDel="00000000" w:rsidP="00000000" w:rsidRDefault="00000000" w:rsidRPr="00000000" w14:paraId="0000011C">
      <w:pPr>
        <w:jc w:val="right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709" w:left="1440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semiHidden w:val="1"/>
    <w:unhideWhenUsed w:val="1"/>
    <w:rsid w:val="00480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 w:val="1"/>
    <w:unhideWhenUsed w:val="1"/>
    <w:rsid w:val="00480486"/>
    <w:pPr>
      <w:spacing w:after="0"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semiHidden w:val="1"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 w:val="1"/>
    <w:unhideWhenUsed w:val="1"/>
    <w:rsid w:val="005B25C8"/>
    <w:pPr>
      <w:numPr>
        <w:numId w:val="4"/>
      </w:numPr>
      <w:spacing w:after="0" w:line="240" w:lineRule="auto"/>
      <w:contextualSpacing w:val="1"/>
    </w:pPr>
    <w:rPr>
      <w:rFonts w:ascii="Calibri" w:cs="Calibri" w:eastAsia="Calibri" w:hAnsi="Calibri"/>
      <w:lang w:eastAsia="uk-UA"/>
    </w:rPr>
  </w:style>
  <w:style w:type="table" w:styleId="a6">
    <w:name w:val="Table Grid"/>
    <w:basedOn w:val="a1"/>
    <w:uiPriority w:val="39"/>
    <w:rsid w:val="005B25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List Paragraph"/>
    <w:basedOn w:val="a"/>
    <w:uiPriority w:val="34"/>
    <w:qFormat w:val="1"/>
    <w:rsid w:val="00BA3B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rqIPMKQl8JmFq9hxzLMv5krYQ==">AMUW2mWn6lnWNTqaYQIZUqgPXQVvEApwPreHUC7/yigorI31kmJ9esqTVgLjX0GU+QKOW3iQTXWhJuGnrTyejJAnSh+oFq22RJoFgJWY43DUSHTjnM+ZpZgFtMTkFtY1dPC6tcGCkv0mYpH0eosnDYfHIvMKH8m85EQ7xinzcaUi1BfMYMH3MtrkFL4q4eqFOTmpVKu4lMYDpD1c93jbXnA2UdbUHmfoznfunLt03laceYPehpG2cr6/lIc8iMQsA3wKaay2kB0xgsn3X/0iiM3E18D+AyWFz55fZ9OJwx5IGEKW9cQr4xYUx7ToDOBJ2p62cwQgGiiHMBrwVzusuyurCLVrYoRsW+O4cO4W63tKlFG/Y9MRU+L3GwBwJ5GFfJ2eJWVy9e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2021-05-26T13:27:00Z</dcterms:created>
  <dc:creator>Inna</dc:creator>
</cp:coreProperties>
</file>